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5A" w:rsidRDefault="0065125A">
      <w:r>
        <w:t>от 25.04.2017</w:t>
      </w:r>
    </w:p>
    <w:p w:rsidR="0065125A" w:rsidRDefault="0065125A"/>
    <w:p w:rsidR="0065125A" w:rsidRDefault="0065125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5125A" w:rsidRDefault="0065125A">
      <w:r>
        <w:t>Общество с ограниченной ответственностью «АРХИТЕКТОН» ИНН 1655152341</w:t>
      </w:r>
    </w:p>
    <w:p w:rsidR="0065125A" w:rsidRDefault="0065125A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5125A" w:rsidRDefault="0065125A">
      <w:r>
        <w:t>1. Общество с ограниченной ответственностью «СК СКАТСТРОЙ»  ИНН  5262329063</w:t>
      </w:r>
    </w:p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125A"/>
    <w:rsid w:val="00045D12"/>
    <w:rsid w:val="0052439B"/>
    <w:rsid w:val="0065125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